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III 23</w:t>
      </w:r>
    </w:p>
    <w:p>
      <w:r>
        <w:t>Bundesgericht (BGE), 1975-04-17, FR</w:t>
      </w:r>
    </w:p>
    <w:p>
      <w:r>
        <w:rPr>
          <w:b/>
        </w:rPr>
        <w:t xml:space="preserve">Quelle: </w:t>
      </w:r>
      <w:r>
        <w:t>https://mcp.opencaselaw.ch/entscheid/bge_101 III 23</w:t>
      </w:r>
    </w:p>
    <w:p>
      <w:r>
        <w:t>FR: ATF 101 III 23</w:t>
      </w:r>
    </w:p>
    <w:p>
      <w:r>
        <w:t>IT: DTF 101 III 23</w:t>
      </w:r>
    </w:p>
    <w:p>
      <w:pPr>
        <w:pStyle w:val="Heading2"/>
      </w:pPr>
      <w:r>
        <w:t>Regeste</w:t>
      </w:r>
    </w:p>
    <w:p>
      <w:r>
        <w:t>Regeste Pfändung einer dem Schuldner unter Eigentumsvorbehalt verkauften Sache; Art. 106 SchKG. Gültigkeit des nach der Pfändung eingetragenen Eigentumsvorbehalts, wenn der dadurch Begünstigte anlässlich der Eintragung des Vorbehaltes noch keine Kenntnis von der Pfändung besass? Es ist nicht Sache der Betreibungsbehörden, sondern des im Widerspruchsverfahren angerufenen Richters, hierüber zu entscheiden.</w:t>
      </w:r>
    </w:p>
    <w:p>
      <w:pPr>
        <w:pStyle w:val="Heading2"/>
      </w:pPr>
      <w:r>
        <w:t>Erwägungen</w:t>
      </w:r>
    </w:p>
    <w:p>
      <w:r>
        <w:rPr>
          <w:b/>
        </w:rPr>
        <w:t>E. 1</w:t>
      </w:r>
    </w:p>
    <w:p>
      <w:r>
        <w:t>La recourante fait valoir trois raisons pour lesquelles le droit de propriété doit lui être reconnu sur le véhicule litigieux: d'une part, ayant fait inscrire la réserve de propriété le 20 août 1974, soit avant d'avoir connaissance de la saisie, elle a acquis le droit de propriété de bonne foi; d'autre part, ce droit n'est pas litigieux, puisque les créanciers saisissants ont admis la revendication; enfin, le droit de propriété en question a été reconnu par le jugement du 5 décembre 1974 validant la "saisie revendication provisionnelle". Se prévalant de l'art. 226i al. 1 CO et de la circulaire du Tribunal fédéral du 11 mai 1922 (RO 48 III 107 ss), la recourante prétend être titulaire non seulement de la créance reconnue par le jugement du 5 décembre 1974, mais aussi du droit de propriété exclusif sur le véhicule.</w:t>
      </w:r>
    </w:p>
    <w:p>
      <w:r>
        <w:rPr>
          <w:b/>
        </w:rPr>
        <w:t>E. 2</w:t>
      </w:r>
    </w:p>
    <w:p>
      <w:r>
        <w:t>Par le jugement du 5 décembre 1974 du Tribunal de première instance de Genève, la recourante a obtenu non seulement la validation de la "saisie revendication provisionnelle" exécutée le 8 octobre 1974, c'est-à-dire la reconnaissance de son droit de propriété sur le véhicule litigieux, mais encore la condamnation de l'acheteur à lui payer la somme de 2'818 fr. 30 à titre d'indemnité pour usure, location et frais, après déduction de l'acompte initial. La revendication de la recourante sur le véhicule litigieux ne pouvait donc être BGE 101 III 23 S. 26 admise "à concurrence de 2'818 fr. 30" - le solde du produit de la réalisation revenant aux créanciers -, puisque cette somme représentait la créance du vendeur après la restitution du véhicule selon l'art. 226i CO. La question qui se pose est celle de la validité de la réserve de propriété par rapport à la saisie, compte tenu du fait que le pacte de réserve de propriété n'était pas encore inscrit lorsque le véhicule a été saisi. La recourante tient la réserve de propriété pour déterminante, parce qu'elle a obtenu l'inscription du pacte, puis la restitution du véhicule litigieux sanctionnée par un jugement définitif, avant d'avoir connaissance de la saisie, soit alors qu'elle était de bonne foi. Mais les créanciers pourraient lui objecter qu'une saisie opérée avant l'inscription de la réserve de propriété l'emporte sur celle-ci, même si le bénéficiaire de la réserve n'avait pas encore connaissance de cette saisie au moment de l'inscription du pacte (cf. RO 93 III 105 ss, 96 II 171). La solution de cette question ressortit non pas aux autorités de poursuite, mais au juge statuant à l'issue d'une procédure contradictoire. Il appartient dès lors à l'office d'inviter à nouveau les créanciers à se déterminer selon l'art. 106 al. 2 LP, en déclarant s'ils entendent contester la validité de la réserve de propriété. Dans l'affirmative, il y aura lieu d'impartir un délai pour ouvrir action à la recourante, venderesse de l'objet litigieux, conformément à la circulaire du Tribunal fédéral du 31 mars 1911 (JAEGER/CLERC, La poursuite pour dettes et la faillite, 10e éd. 1971, p. 375 ch. 2 al. 2) et à la jurisprudence selon laquelle la qualité de demandeur appartient en pareil cas à la partie dont la position apparaît la plus faible sur la base d'un examen sommaire (RO 88 III 56 s.); c'est ici la recourante, dont le droit n'était pas encore inscrit au moment de la saisie, et qui serait réputée y renoncer faute d'ouvrir action dans le délai fixé. Si les créanciers ne contestent pas la validité de la réserve de propriété, la saisie opérée sur le véhicule devient caduque; elle ne peut pas non plus porter sur les droits découlant pour l'acheteur de la résiliation du contrat de vente, selon la circulaire du 11 mai 1922 du Tribunal fédéral, puisque l'inexistence de tels droits a été constatée judiciairement. Quant à la vente du véhicule opérée par la recourante - vente sur laquelle le dossier ne donne d'ailleurs aucune indication - deux questions pourront se poser si la réserve de propriété BGE 101 III 23 S. 27 n'est pas reconnue valable: d'une part, celle de la bonne foi de l'acquéreur; d'autre part, celle d'une saisie portant sur le produit de la vente au lieu de porter sur le véhicule aliéné. La décision attaquée doit ainsi être annulée, et la cause renvoyée à l'Office des poursuites de Genève pour qu'il agisse dans le sens de ce qui précède.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